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Гериатрия - кейс 1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Гериатрия | Записей: 1 | Кейс: 1 | Вопросов: 12</w:t>
      </w:r>
    </w:p>
    <w:p>
      <w:r>
        <w:br w:type="page"/>
      </w:r>
    </w:p>
    <w:p>
      <w:pPr>
        <w:pStyle w:val="Heading1"/>
      </w:pPr>
      <w:r>
        <w:t>Гериатрия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Гериатрия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К. 65 лет обратился к врачу с болями в суставах.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Боли, отёчность в области лучезапястных и II - III пястно-фаланговых суставов обеих кистей, коленных суставов, скованность в кистях рук, в плечевых суставах по утрам, боли в области оснований пальцев стоп при наступании.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 два месяца назад. Начало заболевания с остро возникшего отёка правого коленного сустава, повышения температуры тела до 37,5°С. Состояние регрессировало самопроизвольно через три дня. Но в дальнейшем стал отмечать постепенное появление скованности в кистях рук по утрам, отёчность в области лучезапястных и II - III пястно-фаланговых суставов обеих кистей, возобновление отёчности правого, а затем и левого коленного суставов, скованность и ограничение движения в плечевых суставах, а также боли в области оснований пальцев стоп при наступании.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страдает гипертонической болезнью в течение 10 лет;</w:t>
      </w:r>
    </w:p>
    <w:p>
      <w:pPr>
        <w:spacing w:after="58"/>
      </w:pPr>
      <w:r>
        <w:rPr>
          <w:b w:val="0"/>
          <w:i w:val="0"/>
        </w:rPr>
        <w:t>* вредные привычки отрицает;</w:t>
      </w:r>
    </w:p>
    <w:p>
      <w:pPr>
        <w:spacing w:after="58"/>
      </w:pPr>
      <w:r>
        <w:rPr>
          <w:b w:val="0"/>
          <w:i w:val="0"/>
        </w:rPr>
        <w:t>* профессиональных вредностей не имел;</w:t>
      </w:r>
    </w:p>
    <w:p>
      <w:pPr>
        <w:spacing w:after="58"/>
      </w:pPr>
      <w:r>
        <w:rPr>
          <w:b w:val="0"/>
          <w:i w:val="0"/>
        </w:rPr>
        <w:t>* аллергические реакции отрицает.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средней тяжести. Нормостенический конституциональный тип. Рост 176 см, масса тела 86 кг. Кожные покровы обычной окраски и влажности. Периферических отеков нет. Дыхание везикулярное, ЧДД 16 в 1 мин. Тоны сердца ритмичные, ЧСС 72 в 1 мин, АД 132/80 мм рт. ст. Живот мягкий, безболезненный. Печень по краю реберной дуги. Температура тела 37,3°С.Суставной статус: артрит лучезапястных, I-II-III пястно-фаланговых суставов, теносиновит сгибателей обеих кистей, артрит коленных суставов, положительный симптом поперечного сжатия стоп.</w:t>
      </w:r>
    </w:p>
    <w:p>
      <w:r>
        <w:drawing>
          <wp:inline xmlns:a="http://schemas.openxmlformats.org/drawingml/2006/main" xmlns:pic="http://schemas.openxmlformats.org/drawingml/2006/picture">
            <wp:extent cx="5303520" cy="535412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21d5d6073dbc2842534d917643f4a890d49d0e72.gif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35412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Для постановки диагноза необходимо назначить следующий набор лабораторных исследований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суточный анализ мочи на белок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общий анализ крови, общий анализ мочи, СОЭ АСТ, АЛТ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общий анализ крови, СОЭ, СРБ, ревматоидный фактор, антитела к циклическому цитруллинированному пептиду (АЦЦП)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общий анализ крови, общий анализ мочи, СОЭ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общий анализ крови, СОЭ, СРБ, ревматоидный фактор, антитела к циклическому цитруллинированному пептиду (АЦЦП)</w:t>
      </w:r>
    </w:p>
    <w:p>
      <w:pPr>
        <w:ind w:left="504"/>
      </w:pPr>
      <w:r>
        <w:rPr>
          <w:b w:val="0"/>
          <w:i/>
        </w:rPr>
        <w:t>2.3.1 Лабораторные диагностические исследования для постановки диагноза</w:t>
        <w:br/>
        <w:t>Определение содержания антител к циклическому цитрулиновому пептиду (анти-CCP) в крови (АЦЦП), определение содержания IgM РФ и антинуклеарного фактора (АНФ Нер-2) в крови рекомендуется всем пациентам с НДА и подозрением на РА с целью диагностики заболевания.</w:t>
        <w:br/>
        <w:br/>
        <w:t>* определение содержания РФ в крови в высоких титрах служит для прогнозирования быстропрогрессирующего деструктивного поражения суставов и развития внесуставных проявлений при РА;</w:t>
        <w:br/>
        <w:t>* определение АЦЦП имеет большое значение для диагностики раннего РА, серонегативного (по РФ) РА, дифференциальной диагностики РА с другими заболеваниями, прогнозирования тяжелого эрозивного поражения суставов и риска кардиоваскулярных осложнений;</w:t>
        <w:br/>
        <w:t>* определение АНФ Нер-2 необходимо для ранней диагностики системных заболеваний соединительной ткани, которые могут дебютировать с поражения суставов, напоминающего РА.</w:t>
        <w:br/>
        <w:br/>
        <w:t>Общий (клинический) анализ крови развернутый и исследование уровня СРБ в сыворотке крови количественным методом рекомендуется всем пациентам с НДА и РА с целью проведения дифференциальной диагностики с невоспалительными заболеваниями суставов и оценки активности воспаления.</w:t>
        <w:br/>
        <w:br/>
        <w:t>Комментарии: СОЭ – высокочувствительный, но неспецифичный и нестабильный маркер системного воспаления.</w:t>
        <w:br/>
        <w:br/>
        <w:t>*</w:t>
        <w:tab/>
        <w:t>факторами повышения СОЭ являются анемия, гиперхолестеринемия, беременность, воспаление, женский пол, пожилой возраст;</w:t>
        <w:br/>
        <w:t>*</w:t>
        <w:tab/>
        <w:t>факторами уменьшения СОЭ - серповидноклеточная анемия, сфероцитоз, акантоцитоз, полицитемия, лейкоцитоз, микроцитоз, гипофибриногенемия, гипербилирубинемия, застойная сердечная недостаточность, кахексия;</w:t>
        <w:br/>
        <w:t>*</w:t>
        <w:tab/>
        <w:t>СРБ - классический острофазовый белок сыворотки крови, рассматривающийся как наиболее чувствительный лабораторный биомаркер воспаления, инфекции и тканевого повреждения;</w:t>
        <w:br/>
        <w:t>*</w:t>
        <w:tab/>
        <w:t>СРБ является более стабильным и воспроизводимым биомаркером воспаления, чем СОЭ;</w:t>
        <w:br/>
        <w:t>*</w:t>
        <w:tab/>
        <w:t>повышение СОЭ и концентрации СРБ отражает локальный и системный воспалительный процесс при РА. Эти показатели, входят в число классификационных критериев РА;</w:t>
        <w:br/>
        <w:t>*</w:t>
        <w:tab/>
        <w:t>СОЭ и СРБ, являются компонентами индексов активности РА.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Приоритетным инструментальным методом обследования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денситометрия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УЗДГ сосудов верхних конечностей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обзорная рентгенография кистей и стоп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рентгенография плечевых суставов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обзорная рентгенография кистей и стоп</w:t>
      </w:r>
    </w:p>
    <w:p>
      <w:pPr>
        <w:ind w:left="504"/>
      </w:pPr>
      <w:r>
        <w:rPr>
          <w:b w:val="0"/>
          <w:i/>
        </w:rPr>
        <w:t>Рентгенография кистей и рентгенография плюсны и фаланг пальцев стопы рекомендуется проводить исходно при установлении диагноза и далее всем пациентам с развернутой стадией РА каждые 12 месяцев с целью оценки прогрессирования деструкции суставов.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Наиболее вероятным диагнозом в данном случае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Ревматоидный артрит, серопозитивный по РФ и АЦЦП, поздняя стадия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Острая ревматическая лихорадка, высокой степени активности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Ревматоидный артрит, серонегативный по РФ и АЦЦП, очень ранняя стадия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Ревматоидный артрит, серопозитивный по РФ и АЦЦП, очень ранняя стадия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Ревматоидный артрит, серопозитивный по РФ и АЦЦП, очень ранняя стадия</w:t>
      </w:r>
    </w:p>
    <w:p>
      <w:pPr>
        <w:ind w:left="504"/>
      </w:pPr>
      <w:r>
        <w:rPr>
          <w:b w:val="0"/>
          <w:i/>
        </w:rPr>
        <w:t>[cols="8a,1a", options="header"]</w:t>
        <w:br/>
        <w:t>|===</w:t>
        <w:br/>
        <w:br/>
        <w:t>|Критерий</w:t>
        <w:br/>
        <w:t>^|Баллы</w:t>
        <w:br/>
        <w:br/>
        <w:t>|А.{sp}Клинические признаки поражения суставов (припухлость и/или болезненность при объективном исследовании) (0-5 баллов) +</w:t>
        <w:br/>
        <w:t xml:space="preserve"> - 1 крупный сустав  +</w:t>
        <w:br/>
        <w:t xml:space="preserve"> - 2-10 крупных суставов +</w:t>
        <w:br/>
        <w:t xml:space="preserve"> - 1-3 мелких сустава (крупные суставы не учитываются) +</w:t>
        <w:br/>
        <w:t xml:space="preserve"> - 4-10 мелких суставов (крупные суставы не учитываются) +</w:t>
        <w:br/>
        <w:t xml:space="preserve"> &gt;10 суставов (как минимум 1 мелкий сустав)</w:t>
        <w:br/>
        <w:t>|</w:t>
        <w:br/>
        <w:t xml:space="preserve"> {nbsp} +</w:t>
        <w:br/>
        <w:t xml:space="preserve"> 0 +</w:t>
        <w:br/>
        <w:t xml:space="preserve"> 1 +</w:t>
        <w:br/>
        <w:t xml:space="preserve"> 2 +</w:t>
        <w:br/>
        <w:t xml:space="preserve"> 3 +</w:t>
        <w:br/>
        <w:t xml:space="preserve"> 5</w:t>
        <w:br/>
        <w:br/>
        <w:t>|B.{sp}Результаты лабораторных методов определения РФ и АЦЦП (0-3 балла, требуется положительный результат как минимум 1 метода)</w:t>
        <w:br/>
        <w:br/>
        <w:t>- Отрицательные +</w:t>
        <w:br/>
        <w:t>- Слабо положительные для РФ или АЦЦП (превышают верхнюю границу нормы, но не более, чем в 3 раза) +</w:t>
        <w:br/>
        <w:t>- Высоко положительные для РФ или АЦЦП (превышают верхнюю границу нормы более чем в 3 раза)</w:t>
        <w:br/>
        <w:t>|</w:t>
        <w:br/>
        <w:t xml:space="preserve"> {nbsp} +</w:t>
        <w:br/>
        <w:t xml:space="preserve"> 0 +</w:t>
        <w:br/>
        <w:t xml:space="preserve"> 2 +</w:t>
        <w:br/>
        <w:t xml:space="preserve"> 3</w:t>
        <w:br/>
        <w:br/>
        <w:t>|C.{sp}Результаты лабораторных методов определения «острофазовых» показателей (0-1 балл, требуется положительный результат как минимум 1 метода)</w:t>
        <w:br/>
        <w:br/>
        <w:t>* Нормальные значения СОЭ и СРБ</w:t>
        <w:br/>
        <w:t>* Повышение СОЭ или СРБ</w:t>
        <w:br/>
        <w:t>|</w:t>
        <w:br/>
        <w:t xml:space="preserve"> {nbsp} +</w:t>
        <w:br/>
        <w:t xml:space="preserve"> 0 +</w:t>
        <w:br/>
        <w:t xml:space="preserve"> 1</w:t>
        <w:br/>
        <w:br/>
        <w:t>|D.{sp}Длительность артрита (0-1 балл)</w:t>
        <w:br/>
        <w:br/>
        <w:t>&lt;6 недель  +</w:t>
        <w:br/>
        <w:t>≥6 недель</w:t>
        <w:br/>
        <w:t>|</w:t>
        <w:br/>
        <w:t xml:space="preserve"> {nbsp} +</w:t>
        <w:br/>
        <w:t xml:space="preserve"> 0 +</w:t>
        <w:br/>
        <w:t xml:space="preserve"> 1</w:t>
        <w:br/>
        <w:br/>
        <w:t>|===</w:t>
        <w:br/>
        <w:t>{nbsp}</w:t>
        <w:br/>
        <w:br/>
        <w:t>Для того чтобы поставить диагноз РА необходимо выполнить три условия:</w:t>
        <w:br/>
        <w:br/>
        <w:t>1.</w:t>
        <w:tab/>
        <w:t>Определить наличие у пациента хотя бы одного припухшего сустава по данным физикального осмотра.</w:t>
        <w:br/>
        <w:t>2.</w:t>
        <w:tab/>
        <w:t>Исключить другие заболевания, которые могут сопровождаться воспалительными изменениями суставов.</w:t>
        <w:br/>
        <w:t>3.</w:t>
        <w:tab/>
        <w:t>Набрать как минимум 6 баллов из 10 возможных по 4 позициям, описывающим особенности картины болезни у данного пациента.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ревматоидного артрита характерно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симметричный полиартрит с преимущественным поражением суставов кистей и стоп, внесуставные проявления, утренняя скованность более часа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симметричный полиартрит с преимущественным поражением суставов кистей и стоп, эрозивно-язвенные поражения ЖКТ и васкулит сосудов крупного калибра, утренняя скованность менее получаса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симметричный полиартрит с преимущественным поражением суставов кистей и стоп, фиброз кожных покровов кистей, проксимальная мышечная слабость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асимметричный полиартрит с преимущественным поражением нижних конечностей, поражение осевых суставов позвоночника, утренняя скованность менее получаса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симметричный полиартрит с преимущественным поражением суставов кистей и стоп, внесуставные проявления, утренняя скованность более часа</w:t>
      </w:r>
    </w:p>
    <w:p>
      <w:pPr>
        <w:ind w:left="504"/>
      </w:pPr>
      <w:r>
        <w:rPr>
          <w:b w:val="0"/>
          <w:i/>
        </w:rPr>
        <w:t>Симметричный полиартрит с постепенным (в течение нескольких месяцев) нарастанием боли и скованности, преимущественно в мелких суставах кистей (в половине случаев);</w:t>
        <w:br/>
        <w:br/>
        <w:t>Одним из признаков воспаления суставов при РА является утренняя скованность, длительность которой обычно составляет не менее 30-60 минут.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 качестве тактики ведения данного пациента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необходимо назначить высокие дозы глюкокортикостероидов для купирования воспаления и болевого синдрома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необходимо назначить антикоагулянты в сочетании с НПВС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необходимо назначить НПВП, направить на консультацию ревматолога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необходимо назначить НПВП и антибактериальную 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необходимо назначить НПВП, направить на консультацию ревматолога</w:t>
      </w:r>
    </w:p>
    <w:p>
      <w:pPr>
        <w:ind w:left="504"/>
      </w:pPr>
      <w:r>
        <w:rPr>
          <w:b w:val="0"/>
          <w:i/>
        </w:rPr>
        <w:t>Для уменьшения болей в суставах рекомендуется применять НПВП и парацетомол, которые оказывают удовлетворительный симптоматический (анальгетический) эффект.</w:t>
        <w:br/>
        <w:br/>
        <w:t>Рекомендуется пациента с клиническим подозрением на РА направлять на консультацию к врачу-ревматологу для уточнения диагноза и назначения терапии [149-152].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Оценить активность ревматоидного артрита и эффективность терапии следует с помощью инструментов объективизации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шкалы Чайлда-Пью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калькулятора DAS28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изолированной оценки самочувствия пациента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калькулятора MDRD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калькулятора DAS28</w:t>
      </w:r>
    </w:p>
    <w:p>
      <w:pPr>
        <w:ind w:left="504"/>
      </w:pPr>
      <w:r>
        <w:rPr>
          <w:b w:val="0"/>
          <w:i/>
        </w:rPr>
        <w:t>У всех пациентов с РА рекомендуется оценивать эффективность терапии с использованием стандартизованных индексов активности (DAS 28, SDAI, CDAI) каждые 1-3 месяца до достижения состояния ремиссии (или низкой активности), а затем каждые 3-6 месяцев и функциональные нарушения каждые 6 мес. с помощью Опросника Состояния Здоровья (Health Assessment Questionnaire - HAQ).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У пациентов, получающих метотрексат, рекомендовано снижение дозы/отмена приема в случае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стойкого повышения концентраций АЛТ/АСТ более чем в 3 раза от верхней границы нормы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повышения концентраций АЛТ/АСТ в 2 раза от верхней границы нормы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повышения концентраций АЛТ/АСТ менее чем в 3 раза от верхней границы нормы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повышения концентраций АЛТ/АСТ выше референсных значений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стойкого повышения концентраций АЛТ/АСТ более чем в 3 раза от верхней границы нормы</w:t>
      </w:r>
    </w:p>
    <w:p>
      <w:pPr>
        <w:ind w:left="504"/>
      </w:pPr>
      <w:r>
        <w:rPr>
          <w:b w:val="0"/>
          <w:i/>
        </w:rPr>
        <w:t>Лечение МТ{asterisk}{asterisk} следует прервать при превышении концентрацией АЛТ/АСТ выше верхней границы нормы (ВГН) более чем в 3 раза и возобновить лечение в более низкой дозе после нормализации лабораторных показателей.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 пациента с ревматоидным артритом, получающего лечение метотрексатом, с целью оценки переносимости терапии необходимо мониторировать лабораторные показатели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общий анализ крови, общий анализ мочи, онкомаркеры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общий анализ крови, мочевую кислоту, липидный спектр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общий анализ крови, посев мочи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общий анализ крови, биохимический анализ крови (АСТ, АЛТ, креатинин)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общий анализ крови, биохимический анализ крови (АСТ, АЛТ, креатинин)</w:t>
      </w:r>
    </w:p>
    <w:p>
      <w:pPr>
        <w:ind w:left="504"/>
      </w:pPr>
      <w:r>
        <w:rPr>
          <w:b w:val="0"/>
          <w:i/>
        </w:rPr>
        <w:t>Рекомендуется проведение лабораторное обследование в процессе лечения МТ:</w:t>
        <w:br/>
        <w:br/>
        <w:t>* общий анализ крови;</w:t>
        <w:br/>
        <w:t>* биохимический анализ крови: аланинаминотрансфераза, аспартатаминотрансфераза (АЛТ и АСТ), креатинин.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Периодичность выполнения общего анализа крови с целью мониторинга переносимости терапии метотрексатом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начале лечения или при увеличении дозы метотрексата – каждые 2 недели, далее – по необходимости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начале лечения или при увеличении дозы метотрексата – каждые 1-1,5 месяца до достижения стабильной дозы метотрексата, затем – каждые 6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 начале лечения или при увеличении дозы метотрексата – каждые 2-4 недели, через 1-3 месяца: каждые 1-3 месяца, через 6-12 месяцев: каждые 3 месяца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 начале лечения или при увеличении дозы метотрексата – каждые 2 недели до достижения стабильной дозы метотрексата, затем – каждые 12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 начале лечения или при увеличении дозы метотрексата – каждые 2-4 недели, через 1-3 месяца: каждые 1-3 месяца, через 6-12 месяцев: каждые 3 месяца</w:t>
      </w:r>
    </w:p>
    <w:p>
      <w:pPr>
        <w:ind w:left="504"/>
      </w:pPr>
      <w:r>
        <w:rPr>
          <w:b w:val="0"/>
          <w:i/>
        </w:rPr>
        <w:t>В начале: каждые 2-4 недели;</w:t>
        <w:br/>
        <w:br/>
        <w:t>Через 1-3 месяца: каждые 1-3 месяца;</w:t>
        <w:br/>
        <w:br/>
        <w:t>Через 6-12 месяцев: каждые 3 месяца или в зависимости от клинических показаний.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Пациенту с ревматоидным артритом в ремиссии заболевания рекомендовано(ны)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занятия бегом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регулярно выполнять физические упражнения. Плавание не рекомендуется.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избегать движения в поражённых суставах, предпочитая статические упражнения для мышц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регулярно выполнять физические упражнения. Плавание – оптимальный вид физической нагрузки.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регулярно выполнять физические упражнения. Плавание – оптимальный вид физической нагрузки.</w:t>
      </w:r>
    </w:p>
    <w:p>
      <w:pPr>
        <w:ind w:left="504"/>
      </w:pPr>
      <w:r>
        <w:rPr>
          <w:b w:val="0"/>
          <w:i/>
        </w:rPr>
        <w:t>Регулярные физические упражнения помогают поддерживать подвижность суставов и укрепляют мышцы.Оптимальный вид физической активности для пациентов с РА - плавание, поскольку оно устраняет гравитационную нагрузку на суставы.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Для постановки диагноза ревматоидного артрита следует пользоваться критериями международных сообществ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диагностические критерии РА ESC 2015 года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классификационные критерии РА ACR/EULAR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классификационные критерии РА EULAR 1996 года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диагностические критерии РА AAOS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классификационные критерии РА ACR/EULAR</w:t>
      </w:r>
    </w:p>
    <w:p>
      <w:pPr>
        <w:ind w:left="504"/>
      </w:pPr>
      <w:r>
        <w:rPr>
          <w:b w:val="0"/>
          <w:i/>
        </w:rPr>
        <w:t>Для постановки диагноза рекомендуется учитывать классификационные критерии РА ACR/EULAR.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Назначение препарата из группы генно-инженерных биологических препаратов (ГИБП) +__________________+ пациентам с РА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рекомендуется; при плохой переносимости лечения метотрексатом или комбинированной терапии метотрексатом и стандартными БПВП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рекомендуется; при достаточной эффективности терапии метотрексатом для удержания этого эффекта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рекомендуется; в качестве первой линии при тяжелом течении заболевания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рекомендовано; так как на данный момент отсутствуют исследования использования ГИБП при 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рекомендуется; при плохой переносимости лечения метотрексатом или комбинированной терапии метотрексатом и стандартными БПВП</w:t>
      </w:r>
    </w:p>
    <w:p>
      <w:pPr>
        <w:ind w:left="504"/>
      </w:pPr>
      <w:r>
        <w:rPr>
          <w:b w:val="0"/>
          <w:i/>
        </w:rPr>
        <w:t>При наличии противопоказания для назначения и плохой переносимости МТ (включая подкожную форму препарата) и других сБПВП (СУЛЬФ, ЛЕФ, ГХ) рекомендовано проведение монотерапии ГИБП, которые официально зарегистрированы для монотерапии РА, в первую очередь ингибиторами интерлейкина (ТЦЗ, СРЛ, ОЛК) или тсБПВП (селективные иммунодепрессанты:БАРИ, ТОФА, УПА) [46, 112-116].</w:t>
        <w:br/>
        <w:br/>
      </w:r>
      <w:hyperlink r:id="rId10">
        <w:r>
          <w:rPr>
            <w:color w:val="0F766E"/>
            <w:u w:val="single"/>
          </w:rPr>
          <w:t>Клинические рекомендации Минздрава России. Ревматоидный артрит, 2024 г.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gif"/><Relationship Id="rId10" Type="http://schemas.openxmlformats.org/officeDocument/2006/relationships/hyperlink" Target="https://library.mededtech.ru/rest/documents/250_3/" TargetMode="External"/><Relationship Id="rId11" Type="http://schemas.openxmlformats.org/officeDocument/2006/relationships/hyperlink" Target="https://library.mededtech.ru/rest/documents/250_3/#list_item_f8jnj6" TargetMode="External"/><Relationship Id="rId12" Type="http://schemas.openxmlformats.org/officeDocument/2006/relationships/hyperlink" Target="https://library.mededtech.ru/rest/documents/250_3/#paragraph_otdvdh" TargetMode="External"/><Relationship Id="rId13" Type="http://schemas.openxmlformats.org/officeDocument/2006/relationships/hyperlink" Target="https://library.mededtech.ru/rest/documents/250_3/#list_item_bgfgm9" TargetMode="External"/><Relationship Id="rId14" Type="http://schemas.openxmlformats.org/officeDocument/2006/relationships/hyperlink" Target="https://library.mededtech.ru/rest/documents/250_3/#table_a18ckn" TargetMode="External"/><Relationship Id="rId15" Type="http://schemas.openxmlformats.org/officeDocument/2006/relationships/hyperlink" Target="https://library.mededtech.ru/rest/documents/250_3/#paragraph_45hn2a" TargetMode="External"/><Relationship Id="rId16" Type="http://schemas.openxmlformats.org/officeDocument/2006/relationships/hyperlink" Target="https://library.mededtech.ru/rest/documents/250_3/#list_item_tpqu0p" TargetMode="External"/><Relationship Id="rId17" Type="http://schemas.openxmlformats.org/officeDocument/2006/relationships/hyperlink" Target="https://library.mededtech.ru/rest/documents/250_3/#list_item_019r5t" TargetMode="External"/><Relationship Id="rId18" Type="http://schemas.openxmlformats.org/officeDocument/2006/relationships/hyperlink" Target="https://library.mededtech.ru/rest/documents/250_3/#list_item_181v7b" TargetMode="External"/><Relationship Id="rId19" Type="http://schemas.openxmlformats.org/officeDocument/2006/relationships/hyperlink" Target="https://library.mededtech.ru/rest/documents/250_3/#list_item_1f6u55" TargetMode="External"/><Relationship Id="rId20" Type="http://schemas.openxmlformats.org/officeDocument/2006/relationships/hyperlink" Target="https://library.mededtech.ru/rest/documents/250_3/#list_item_3i7obu" TargetMode="External"/><Relationship Id="rId21" Type="http://schemas.openxmlformats.org/officeDocument/2006/relationships/hyperlink" Target="https://library.mededtech.ru/rest/documents/250_3/#list_item_onobli" TargetMode="External"/><Relationship Id="rId22" Type="http://schemas.openxmlformats.org/officeDocument/2006/relationships/hyperlink" Target="https://library.mededtech.ru/rest/documents/250_3/#prilg5" TargetMode="External"/><Relationship Id="rId23" Type="http://schemas.openxmlformats.org/officeDocument/2006/relationships/hyperlink" Target="https://library.mededtech.ru/rest/documents/250_3/#paragraph_u4qfms" TargetMode="External"/><Relationship Id="rId24" Type="http://schemas.openxmlformats.org/officeDocument/2006/relationships/hyperlink" Target="https://library.mededtech.ru/rest/documents/250_3/#paragraph_5jei05" TargetMode="External"/><Relationship Id="rId25" Type="http://schemas.openxmlformats.org/officeDocument/2006/relationships/hyperlink" Target="https://library.mededtech.ru/rest/documents/250_3/#list_item_b9n25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